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4C" w:rsidRPr="0037424C" w:rsidRDefault="0037424C" w:rsidP="00D111D2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37424C">
        <w:rPr>
          <w:sz w:val="36"/>
          <w:szCs w:val="36"/>
        </w:rPr>
        <w:t>Final Contents</w:t>
      </w:r>
    </w:p>
    <w:p w:rsidR="0037424C" w:rsidRDefault="0037424C" w:rsidP="00D111D2">
      <w:pPr>
        <w:spacing w:after="0"/>
      </w:pPr>
    </w:p>
    <w:p w:rsidR="001E5D38" w:rsidRDefault="00576103" w:rsidP="00D111D2">
      <w:pPr>
        <w:spacing w:after="0"/>
      </w:pPr>
      <w:r>
        <w:t>Chapter two -- Cost Basics</w:t>
      </w:r>
    </w:p>
    <w:p w:rsidR="00576103" w:rsidRDefault="00D111D2" w:rsidP="00D111D2">
      <w:pPr>
        <w:spacing w:after="0"/>
      </w:pPr>
      <w:r>
        <w:tab/>
      </w:r>
      <w:r w:rsidR="00576103">
        <w:t>High Low Method</w:t>
      </w:r>
    </w:p>
    <w:p w:rsidR="00990BA6" w:rsidRDefault="00990BA6" w:rsidP="00D111D2">
      <w:pPr>
        <w:spacing w:after="0"/>
      </w:pPr>
      <w:r>
        <w:tab/>
        <w:t>Variable and Fixed Cost – Change or same chart</w:t>
      </w:r>
      <w:r w:rsidR="0037424C">
        <w:t xml:space="preserve"> 11</w:t>
      </w:r>
    </w:p>
    <w:p w:rsidR="005E0BFA" w:rsidRDefault="005E0BFA" w:rsidP="00D111D2">
      <w:pPr>
        <w:spacing w:after="0"/>
      </w:pPr>
      <w:r>
        <w:tab/>
        <w:t>Three costs</w:t>
      </w:r>
    </w:p>
    <w:p w:rsidR="00210BE7" w:rsidRDefault="00210BE7" w:rsidP="00D111D2">
      <w:pPr>
        <w:spacing w:after="0"/>
      </w:pPr>
      <w:r>
        <w:tab/>
        <w:t>Opportunity Costs</w:t>
      </w:r>
    </w:p>
    <w:p w:rsidR="00210BE7" w:rsidRDefault="00210BE7" w:rsidP="00D111D2">
      <w:pPr>
        <w:spacing w:after="0"/>
      </w:pPr>
      <w:r>
        <w:tab/>
        <w:t>Variable and Conversion Cost</w:t>
      </w:r>
    </w:p>
    <w:p w:rsidR="00210BE7" w:rsidRDefault="00210BE7" w:rsidP="00D111D2">
      <w:pPr>
        <w:spacing w:after="0"/>
      </w:pPr>
      <w:r>
        <w:tab/>
        <w:t>Cost of Goods Manufacturing</w:t>
      </w:r>
    </w:p>
    <w:p w:rsidR="00D111D2" w:rsidRDefault="00D111D2" w:rsidP="00D111D2">
      <w:pPr>
        <w:spacing w:after="0"/>
      </w:pPr>
    </w:p>
    <w:p w:rsidR="00576103" w:rsidRDefault="00990BA6" w:rsidP="00D111D2">
      <w:pPr>
        <w:spacing w:after="0"/>
      </w:pPr>
      <w:r>
        <w:t xml:space="preserve">Chapter 3 - </w:t>
      </w:r>
      <w:r w:rsidR="00576103">
        <w:t xml:space="preserve">  Job Costing and Overhead</w:t>
      </w:r>
    </w:p>
    <w:p w:rsidR="005E0BFA" w:rsidRDefault="00576103" w:rsidP="00D111D2">
      <w:pPr>
        <w:spacing w:after="0"/>
      </w:pPr>
      <w:r>
        <w:tab/>
        <w:t>Job Order versus Process Costing</w:t>
      </w:r>
      <w:r w:rsidR="005E0BFA">
        <w:tab/>
      </w:r>
    </w:p>
    <w:p w:rsidR="00990BA6" w:rsidRDefault="00990BA6" w:rsidP="00D111D2">
      <w:pPr>
        <w:spacing w:after="0"/>
      </w:pPr>
      <w:r>
        <w:tab/>
        <w:t xml:space="preserve">Overhead Calculation </w:t>
      </w:r>
    </w:p>
    <w:p w:rsidR="00990BA6" w:rsidRDefault="00990BA6" w:rsidP="00D111D2">
      <w:pPr>
        <w:spacing w:after="0"/>
      </w:pPr>
      <w:r>
        <w:tab/>
        <w:t>Over/under applied</w:t>
      </w:r>
    </w:p>
    <w:p w:rsidR="00990BA6" w:rsidRDefault="00990BA6" w:rsidP="00D111D2">
      <w:pPr>
        <w:spacing w:after="0"/>
      </w:pPr>
      <w:r>
        <w:tab/>
        <w:t>Job Cost- Total Cost</w:t>
      </w:r>
    </w:p>
    <w:p w:rsidR="00990BA6" w:rsidRDefault="00990BA6" w:rsidP="00D111D2">
      <w:pPr>
        <w:spacing w:after="0"/>
      </w:pPr>
      <w:r>
        <w:tab/>
        <w:t>Debit/Credit transactions</w:t>
      </w:r>
    </w:p>
    <w:p w:rsidR="00210BE7" w:rsidRDefault="00210BE7" w:rsidP="00D111D2">
      <w:pPr>
        <w:spacing w:after="0"/>
      </w:pPr>
      <w:r>
        <w:tab/>
        <w:t>Overhead rate, applied, under/over</w:t>
      </w:r>
    </w:p>
    <w:p w:rsidR="00D111D2" w:rsidRDefault="00D111D2" w:rsidP="00D111D2">
      <w:pPr>
        <w:spacing w:after="0"/>
      </w:pPr>
    </w:p>
    <w:p w:rsidR="00576103" w:rsidRDefault="00576103" w:rsidP="00D111D2">
      <w:pPr>
        <w:spacing w:after="0"/>
      </w:pPr>
      <w:r>
        <w:t>Chapter 4 -Process Costing</w:t>
      </w:r>
    </w:p>
    <w:p w:rsidR="00576103" w:rsidRDefault="00576103" w:rsidP="00D111D2">
      <w:pPr>
        <w:spacing w:after="0"/>
      </w:pPr>
      <w:r>
        <w:tab/>
        <w:t>Conversion Cost</w:t>
      </w:r>
    </w:p>
    <w:p w:rsidR="00990BA6" w:rsidRDefault="00990BA6" w:rsidP="00D111D2">
      <w:pPr>
        <w:spacing w:after="0"/>
      </w:pPr>
      <w:r>
        <w:tab/>
        <w:t>Work In Process Calculation</w:t>
      </w:r>
      <w:r w:rsidR="00210BE7">
        <w:t xml:space="preserve"> 11</w:t>
      </w:r>
    </w:p>
    <w:p w:rsidR="00210BE7" w:rsidRDefault="00210BE7" w:rsidP="00D111D2">
      <w:pPr>
        <w:spacing w:after="0"/>
      </w:pPr>
      <w:r>
        <w:tab/>
        <w:t>Period Cost</w:t>
      </w:r>
    </w:p>
    <w:p w:rsidR="00576103" w:rsidRDefault="00576103" w:rsidP="00D111D2">
      <w:pPr>
        <w:spacing w:after="0"/>
      </w:pPr>
    </w:p>
    <w:p w:rsidR="00576103" w:rsidRDefault="00576103" w:rsidP="00D111D2">
      <w:pPr>
        <w:spacing w:after="0"/>
      </w:pPr>
      <w:r>
        <w:t>Chapter 5- CVP</w:t>
      </w:r>
    </w:p>
    <w:p w:rsidR="00576103" w:rsidRDefault="00576103" w:rsidP="00D111D2">
      <w:pPr>
        <w:pStyle w:val="Subtitle"/>
        <w:spacing w:after="0"/>
        <w:rPr>
          <w:rFonts w:asciiTheme="minorHAnsi" w:eastAsiaTheme="minorHAnsi" w:hAnsiTheme="minorHAnsi" w:cstheme="minorBidi"/>
          <w:i w:val="0"/>
          <w:iCs w:val="0"/>
          <w:color w:val="auto"/>
          <w:spacing w:val="0"/>
          <w:sz w:val="22"/>
          <w:szCs w:val="22"/>
        </w:rPr>
      </w:pPr>
      <w:r>
        <w:rPr>
          <w:rFonts w:asciiTheme="minorHAnsi" w:eastAsiaTheme="minorHAnsi" w:hAnsiTheme="minorHAnsi" w:cstheme="minorBidi"/>
          <w:i w:val="0"/>
          <w:iCs w:val="0"/>
          <w:color w:val="auto"/>
          <w:spacing w:val="0"/>
          <w:sz w:val="22"/>
          <w:szCs w:val="22"/>
        </w:rPr>
        <w:tab/>
        <w:t xml:space="preserve">Break Even point </w:t>
      </w:r>
      <w:r w:rsidR="00D111D2">
        <w:rPr>
          <w:rFonts w:asciiTheme="minorHAnsi" w:eastAsiaTheme="minorHAnsi" w:hAnsiTheme="minorHAnsi" w:cstheme="minorBidi"/>
          <w:i w:val="0"/>
          <w:iCs w:val="0"/>
          <w:color w:val="auto"/>
          <w:spacing w:val="0"/>
          <w:sz w:val="22"/>
          <w:szCs w:val="22"/>
        </w:rPr>
        <w:t>– 11</w:t>
      </w:r>
      <w:r w:rsidR="00990BA6">
        <w:rPr>
          <w:rFonts w:asciiTheme="minorHAnsi" w:eastAsiaTheme="minorHAnsi" w:hAnsiTheme="minorHAnsi" w:cstheme="minorBidi"/>
          <w:i w:val="0"/>
          <w:iCs w:val="0"/>
          <w:color w:val="auto"/>
          <w:spacing w:val="0"/>
          <w:sz w:val="22"/>
          <w:szCs w:val="22"/>
        </w:rPr>
        <w:t>1</w:t>
      </w:r>
    </w:p>
    <w:p w:rsidR="00D111D2" w:rsidRDefault="00D111D2" w:rsidP="00D111D2">
      <w:pPr>
        <w:spacing w:after="0"/>
      </w:pPr>
      <w:r>
        <w:tab/>
        <w:t>Operating leverage</w:t>
      </w:r>
    </w:p>
    <w:p w:rsidR="00D111D2" w:rsidRDefault="00D111D2" w:rsidP="00D111D2">
      <w:pPr>
        <w:spacing w:after="0"/>
      </w:pPr>
      <w:r>
        <w:tab/>
        <w:t>Margin of Safety</w:t>
      </w:r>
    </w:p>
    <w:p w:rsidR="00990BA6" w:rsidRDefault="00990BA6" w:rsidP="00D111D2">
      <w:pPr>
        <w:spacing w:after="0"/>
      </w:pPr>
      <w:r>
        <w:tab/>
        <w:t>Contribution Margin</w:t>
      </w:r>
    </w:p>
    <w:p w:rsidR="005E0BFA" w:rsidRDefault="005E0BFA" w:rsidP="00D111D2">
      <w:pPr>
        <w:spacing w:after="0"/>
      </w:pPr>
      <w:r>
        <w:tab/>
        <w:t>CM per constraint</w:t>
      </w:r>
    </w:p>
    <w:p w:rsidR="005E0BFA" w:rsidRDefault="005E0BFA" w:rsidP="00D111D2">
      <w:pPr>
        <w:spacing w:after="0"/>
      </w:pPr>
      <w:r>
        <w:tab/>
        <w:t xml:space="preserve">Net Income </w:t>
      </w:r>
      <w:proofErr w:type="gramStart"/>
      <w:r>
        <w:t>calculations  -</w:t>
      </w:r>
      <w:proofErr w:type="gramEnd"/>
      <w:r>
        <w:t xml:space="preserve"> CVP 11</w:t>
      </w:r>
      <w:r w:rsidR="00210BE7">
        <w:t>1</w:t>
      </w:r>
      <w:r w:rsidR="0037424C">
        <w:t>1</w:t>
      </w:r>
      <w:r>
        <w:t xml:space="preserve">    </w:t>
      </w:r>
    </w:p>
    <w:p w:rsidR="005E0BFA" w:rsidRDefault="005E0BFA" w:rsidP="00D111D2">
      <w:pPr>
        <w:spacing w:after="0"/>
      </w:pPr>
    </w:p>
    <w:p w:rsidR="00576103" w:rsidRDefault="00576103" w:rsidP="00D111D2">
      <w:pPr>
        <w:spacing w:after="0"/>
      </w:pPr>
      <w:r>
        <w:t>Chapter 7- Activity Based Costing</w:t>
      </w:r>
    </w:p>
    <w:p w:rsidR="00576103" w:rsidRDefault="00210BE7" w:rsidP="00D111D2">
      <w:pPr>
        <w:spacing w:after="0"/>
      </w:pPr>
      <w:r>
        <w:tab/>
        <w:t>Overhead costs based on Activity Based</w:t>
      </w:r>
    </w:p>
    <w:p w:rsidR="0037424C" w:rsidRDefault="0037424C" w:rsidP="00D111D2">
      <w:pPr>
        <w:spacing w:after="0"/>
      </w:pPr>
      <w:r>
        <w:tab/>
        <w:t>Calculation Cost Pool rate</w:t>
      </w:r>
    </w:p>
    <w:p w:rsidR="0037424C" w:rsidRDefault="0037424C" w:rsidP="00D111D2">
      <w:pPr>
        <w:spacing w:after="0"/>
      </w:pPr>
    </w:p>
    <w:p w:rsidR="00576103" w:rsidRDefault="00576103" w:rsidP="00D111D2">
      <w:pPr>
        <w:spacing w:after="0"/>
      </w:pPr>
      <w:r>
        <w:t>Chapter 8- Budgeting</w:t>
      </w:r>
    </w:p>
    <w:p w:rsidR="00990BA6" w:rsidRDefault="00576103" w:rsidP="00D111D2">
      <w:pPr>
        <w:spacing w:after="0"/>
      </w:pPr>
      <w:r>
        <w:tab/>
        <w:t>Dl Budget</w:t>
      </w:r>
    </w:p>
    <w:p w:rsidR="00576103" w:rsidRDefault="00990BA6" w:rsidP="00D111D2">
      <w:pPr>
        <w:spacing w:after="0"/>
      </w:pPr>
      <w:r>
        <w:tab/>
        <w:t>Pr</w:t>
      </w:r>
      <w:r w:rsidR="00D111D2">
        <w:t>oduction</w:t>
      </w:r>
    </w:p>
    <w:p w:rsidR="00210BE7" w:rsidRDefault="00210BE7" w:rsidP="00D111D2">
      <w:pPr>
        <w:spacing w:after="0"/>
      </w:pPr>
      <w:r>
        <w:tab/>
        <w:t>Material Purchases</w:t>
      </w:r>
    </w:p>
    <w:p w:rsidR="00D111D2" w:rsidRDefault="00D111D2" w:rsidP="00D111D2">
      <w:pPr>
        <w:spacing w:after="0"/>
      </w:pPr>
      <w:r>
        <w:tab/>
        <w:t>COGS</w:t>
      </w:r>
    </w:p>
    <w:p w:rsidR="00D111D2" w:rsidRDefault="00990BA6" w:rsidP="00D111D2">
      <w:pPr>
        <w:spacing w:after="0"/>
      </w:pPr>
      <w:r>
        <w:tab/>
      </w:r>
      <w:r w:rsidR="005E0BFA">
        <w:t>Overhead rate –Variable plus fixed OH/driver</w:t>
      </w:r>
    </w:p>
    <w:p w:rsidR="005E0BFA" w:rsidRDefault="005E0BFA" w:rsidP="00D111D2">
      <w:pPr>
        <w:spacing w:after="0"/>
      </w:pPr>
      <w:r>
        <w:tab/>
        <w:t>Depreciation and cash disbursement</w:t>
      </w:r>
    </w:p>
    <w:p w:rsidR="005E0BFA" w:rsidRDefault="005E0BFA" w:rsidP="00D111D2">
      <w:pPr>
        <w:spacing w:after="0"/>
      </w:pPr>
      <w:r>
        <w:tab/>
        <w:t>Cash Disbursements</w:t>
      </w:r>
    </w:p>
    <w:p w:rsidR="005E0BFA" w:rsidRDefault="005E0BFA" w:rsidP="00D111D2">
      <w:pPr>
        <w:spacing w:after="0"/>
      </w:pPr>
      <w:r>
        <w:tab/>
        <w:t>Budgeted Net Income</w:t>
      </w:r>
    </w:p>
    <w:p w:rsidR="005E0BFA" w:rsidRDefault="005E0BFA" w:rsidP="00D111D2">
      <w:pPr>
        <w:spacing w:after="0"/>
      </w:pPr>
      <w:r>
        <w:tab/>
        <w:t>Cash Receipts</w:t>
      </w:r>
    </w:p>
    <w:p w:rsidR="00210BE7" w:rsidRDefault="00210BE7" w:rsidP="00D111D2">
      <w:pPr>
        <w:spacing w:after="0"/>
      </w:pPr>
      <w:r>
        <w:tab/>
        <w:t>Cash – How much to borrow and excess</w:t>
      </w:r>
    </w:p>
    <w:p w:rsidR="00D111D2" w:rsidRDefault="00D111D2" w:rsidP="00D111D2">
      <w:pPr>
        <w:spacing w:after="0"/>
      </w:pPr>
    </w:p>
    <w:p w:rsidR="00216712" w:rsidRDefault="00216712" w:rsidP="00D111D2">
      <w:pPr>
        <w:spacing w:after="0"/>
      </w:pPr>
    </w:p>
    <w:p w:rsidR="00576103" w:rsidRDefault="00576103" w:rsidP="00D111D2">
      <w:pPr>
        <w:spacing w:after="0"/>
      </w:pPr>
      <w:r>
        <w:lastRenderedPageBreak/>
        <w:t>Chapter 10 – Variance Analysis</w:t>
      </w:r>
    </w:p>
    <w:p w:rsidR="00576103" w:rsidRDefault="00576103" w:rsidP="00D111D2">
      <w:pPr>
        <w:spacing w:after="0"/>
      </w:pPr>
      <w:r>
        <w:tab/>
        <w:t>All four variances and analysis</w:t>
      </w:r>
      <w:r w:rsidR="00A96929">
        <w:t xml:space="preserve"> </w:t>
      </w:r>
      <w:r w:rsidR="0037424C">
        <w:t>–</w:t>
      </w:r>
      <w:r w:rsidR="00A96929">
        <w:t xml:space="preserve"> 11</w:t>
      </w:r>
      <w:r w:rsidR="00E74D81">
        <w:t>1</w:t>
      </w:r>
      <w:r w:rsidR="005E0BFA">
        <w:t>11</w:t>
      </w:r>
      <w:r w:rsidR="00210BE7">
        <w:t>1</w:t>
      </w:r>
    </w:p>
    <w:p w:rsidR="0037424C" w:rsidRDefault="0037424C" w:rsidP="00D111D2">
      <w:pPr>
        <w:spacing w:after="0"/>
      </w:pPr>
    </w:p>
    <w:p w:rsidR="00576103" w:rsidRDefault="00576103" w:rsidP="00D111D2">
      <w:pPr>
        <w:spacing w:after="0"/>
      </w:pPr>
      <w:r>
        <w:t>Chapter 12 – Short Run Decisions</w:t>
      </w:r>
    </w:p>
    <w:p w:rsidR="00A96929" w:rsidRDefault="00A96929" w:rsidP="00D111D2">
      <w:pPr>
        <w:spacing w:after="0"/>
      </w:pPr>
      <w:r>
        <w:tab/>
        <w:t>Make or Buy</w:t>
      </w:r>
    </w:p>
    <w:p w:rsidR="00990BA6" w:rsidRDefault="00990BA6" w:rsidP="00D111D2">
      <w:pPr>
        <w:spacing w:after="0"/>
      </w:pPr>
      <w:r>
        <w:tab/>
        <w:t>Keep or Drop – Net Income</w:t>
      </w:r>
      <w:r w:rsidR="00210BE7">
        <w:t xml:space="preserve"> 11</w:t>
      </w:r>
    </w:p>
    <w:p w:rsidR="00210BE7" w:rsidRDefault="00210BE7" w:rsidP="00D111D2">
      <w:pPr>
        <w:spacing w:after="0"/>
      </w:pPr>
      <w:r>
        <w:tab/>
        <w:t>Special Orders</w:t>
      </w:r>
    </w:p>
    <w:p w:rsidR="00210BE7" w:rsidRDefault="00210BE7" w:rsidP="00D111D2">
      <w:pPr>
        <w:spacing w:after="0"/>
      </w:pPr>
      <w:r>
        <w:tab/>
        <w:t>Relevant Costs</w:t>
      </w:r>
    </w:p>
    <w:p w:rsidR="00210BE7" w:rsidRDefault="00210BE7" w:rsidP="00D111D2">
      <w:pPr>
        <w:spacing w:after="0"/>
      </w:pPr>
    </w:p>
    <w:p w:rsidR="00576103" w:rsidRDefault="00576103" w:rsidP="00D111D2">
      <w:pPr>
        <w:spacing w:after="0"/>
      </w:pPr>
      <w:r>
        <w:t xml:space="preserve">Chapter 13 - </w:t>
      </w:r>
      <w:r>
        <w:tab/>
        <w:t>Capital Investments</w:t>
      </w:r>
    </w:p>
    <w:p w:rsidR="00576103" w:rsidRDefault="00576103" w:rsidP="00D111D2">
      <w:pPr>
        <w:spacing w:after="0"/>
      </w:pPr>
      <w:r>
        <w:tab/>
        <w:t>Payback period</w:t>
      </w:r>
    </w:p>
    <w:p w:rsidR="00E74D81" w:rsidRDefault="00E74D81" w:rsidP="00D111D2">
      <w:pPr>
        <w:spacing w:after="0"/>
      </w:pPr>
      <w:r>
        <w:tab/>
        <w:t>Ranking of investments</w:t>
      </w:r>
    </w:p>
    <w:p w:rsidR="00D111D2" w:rsidRDefault="00D111D2" w:rsidP="00D111D2">
      <w:pPr>
        <w:spacing w:after="0"/>
      </w:pPr>
      <w:r>
        <w:tab/>
      </w:r>
      <w:r w:rsidR="005E0BFA">
        <w:t>Simple Rate of Return</w:t>
      </w:r>
    </w:p>
    <w:p w:rsidR="00210BE7" w:rsidRDefault="00210BE7" w:rsidP="00D111D2">
      <w:pPr>
        <w:spacing w:after="0"/>
      </w:pPr>
      <w:r>
        <w:tab/>
        <w:t>Net Present Value</w:t>
      </w:r>
    </w:p>
    <w:p w:rsidR="00210BE7" w:rsidRDefault="00210BE7" w:rsidP="00D111D2">
      <w:pPr>
        <w:spacing w:after="0"/>
      </w:pPr>
      <w:r>
        <w:tab/>
        <w:t>Internal Rate of Return</w:t>
      </w:r>
    </w:p>
    <w:p w:rsidR="0037424C" w:rsidRDefault="0037424C" w:rsidP="00D111D2">
      <w:pPr>
        <w:spacing w:after="0"/>
      </w:pPr>
    </w:p>
    <w:p w:rsidR="00576103" w:rsidRDefault="00576103" w:rsidP="00D111D2">
      <w:pPr>
        <w:spacing w:after="0"/>
      </w:pPr>
      <w:r>
        <w:t>Chapter 14- Cash Flow</w:t>
      </w:r>
    </w:p>
    <w:p w:rsidR="00576103" w:rsidRDefault="00576103" w:rsidP="00D111D2">
      <w:pPr>
        <w:spacing w:after="0"/>
      </w:pPr>
      <w:r>
        <w:tab/>
        <w:t xml:space="preserve">Activity </w:t>
      </w:r>
      <w:r w:rsidR="005E0BFA">
        <w:t>–</w:t>
      </w:r>
      <w:r>
        <w:t xml:space="preserve"> Transactions</w:t>
      </w:r>
      <w:r w:rsidR="005E0BFA">
        <w:t xml:space="preserve"> 11</w:t>
      </w:r>
    </w:p>
    <w:p w:rsidR="0037424C" w:rsidRDefault="0037424C" w:rsidP="00D111D2">
      <w:pPr>
        <w:spacing w:after="0"/>
      </w:pPr>
      <w:r>
        <w:tab/>
        <w:t>Net Cash Flows</w:t>
      </w:r>
    </w:p>
    <w:p w:rsidR="00D111D2" w:rsidRDefault="00D111D2" w:rsidP="00D111D2">
      <w:pPr>
        <w:spacing w:after="0"/>
      </w:pPr>
    </w:p>
    <w:p w:rsidR="00576103" w:rsidRDefault="00576103" w:rsidP="00D111D2">
      <w:pPr>
        <w:spacing w:after="0"/>
      </w:pPr>
      <w:r>
        <w:t xml:space="preserve">Chapter 15 </w:t>
      </w:r>
      <w:proofErr w:type="gramStart"/>
      <w:r>
        <w:t>-  Financial</w:t>
      </w:r>
      <w:proofErr w:type="gramEnd"/>
      <w:r>
        <w:t xml:space="preserve"> Ratios</w:t>
      </w:r>
    </w:p>
    <w:p w:rsidR="00576103" w:rsidRDefault="00D111D2" w:rsidP="00D111D2">
      <w:pPr>
        <w:spacing w:after="0"/>
      </w:pPr>
      <w:r>
        <w:tab/>
        <w:t xml:space="preserve">Price </w:t>
      </w:r>
      <w:proofErr w:type="spellStart"/>
      <w:r>
        <w:t>Earning</w:t>
      </w:r>
      <w:proofErr w:type="spellEnd"/>
      <w:r>
        <w:t xml:space="preserve"> Ratio</w:t>
      </w:r>
    </w:p>
    <w:p w:rsidR="00990BA6" w:rsidRDefault="00990BA6" w:rsidP="00D111D2">
      <w:pPr>
        <w:spacing w:after="0"/>
      </w:pPr>
      <w:r>
        <w:tab/>
        <w:t>A/R Turnover</w:t>
      </w:r>
    </w:p>
    <w:p w:rsidR="00990BA6" w:rsidRDefault="00990BA6" w:rsidP="00D111D2">
      <w:pPr>
        <w:spacing w:after="0"/>
      </w:pPr>
      <w:r>
        <w:tab/>
        <w:t>Acid Test</w:t>
      </w:r>
      <w:r w:rsidR="00210BE7">
        <w:t xml:space="preserve"> 11</w:t>
      </w:r>
    </w:p>
    <w:p w:rsidR="00990BA6" w:rsidRDefault="00990BA6" w:rsidP="00D111D2">
      <w:pPr>
        <w:spacing w:after="0"/>
      </w:pPr>
      <w:r>
        <w:tab/>
        <w:t>Dividend Yield</w:t>
      </w:r>
    </w:p>
    <w:p w:rsidR="00990BA6" w:rsidRDefault="00990BA6" w:rsidP="00D111D2">
      <w:pPr>
        <w:spacing w:after="0"/>
      </w:pPr>
      <w:r>
        <w:tab/>
        <w:t>Working Capital and Current Ratio</w:t>
      </w:r>
    </w:p>
    <w:p w:rsidR="00D111D2" w:rsidRPr="00576103" w:rsidRDefault="00D111D2" w:rsidP="00D111D2">
      <w:pPr>
        <w:spacing w:after="0"/>
      </w:pPr>
      <w:r>
        <w:tab/>
      </w:r>
    </w:p>
    <w:p w:rsidR="00576103" w:rsidRDefault="00576103" w:rsidP="00D111D2">
      <w:pPr>
        <w:spacing w:after="0"/>
      </w:pPr>
    </w:p>
    <w:p w:rsidR="00576103" w:rsidRDefault="00576103" w:rsidP="00D111D2">
      <w:pPr>
        <w:spacing w:after="0"/>
      </w:pPr>
    </w:p>
    <w:p w:rsidR="00D111D2" w:rsidRPr="00576103" w:rsidRDefault="00D111D2" w:rsidP="00D111D2">
      <w:pPr>
        <w:spacing w:after="0"/>
      </w:pPr>
    </w:p>
    <w:sectPr w:rsidR="00D111D2" w:rsidRPr="00576103" w:rsidSect="002167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6103"/>
    <w:rsid w:val="001E5D38"/>
    <w:rsid w:val="00210BE7"/>
    <w:rsid w:val="00216712"/>
    <w:rsid w:val="0037424C"/>
    <w:rsid w:val="00525F05"/>
    <w:rsid w:val="00576103"/>
    <w:rsid w:val="005E0BFA"/>
    <w:rsid w:val="00990BA6"/>
    <w:rsid w:val="00992C56"/>
    <w:rsid w:val="00A96929"/>
    <w:rsid w:val="00D111D2"/>
    <w:rsid w:val="00E7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761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761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Kloezeman</dc:creator>
  <cp:keywords/>
  <dc:description/>
  <cp:lastModifiedBy>Christine Kloezeman</cp:lastModifiedBy>
  <cp:revision>3</cp:revision>
  <cp:lastPrinted>2013-12-07T18:55:00Z</cp:lastPrinted>
  <dcterms:created xsi:type="dcterms:W3CDTF">2013-12-07T17:31:00Z</dcterms:created>
  <dcterms:modified xsi:type="dcterms:W3CDTF">2013-12-07T18:57:00Z</dcterms:modified>
</cp:coreProperties>
</file>